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Georgia" w:cs="Georgia" w:eastAsia="Georgia" w:hAnsi="Georgia"/>
          <w:b/>
          <w:bCs/>
          <w:color w:val="1B2D52"/>
          <w:sz w:val="32"/>
          <w:szCs w:val="32"/>
        </w:rPr>
        <w:t xml:space="preserve">SAN TAN PROPERTY INSPECTIONS</w:t>
      </w:r>
    </w:p>
    <w:p>
      <w:pPr>
        <w:spacing w:after="60" w:before="0"/>
        <w:jc w:val="center"/>
      </w:pPr>
      <w:r>
        <w:rPr>
          <w:rFonts w:ascii="Arial" w:cs="Arial" w:eastAsia="Arial" w:hAnsi="Arial"/>
          <w:color w:val="555555"/>
          <w:sz w:val="20"/>
          <w:szCs w:val="20"/>
        </w:rPr>
        <w:t xml:space="preserve">Certified Home Inspector — BTR #79346</w:t>
      </w:r>
    </w:p>
    <w:p>
      <w:pPr>
        <w:spacing w:after="60" w:before="0"/>
        <w:jc w:val="center"/>
      </w:pPr>
      <w:r>
        <w:rPr>
          <w:rFonts w:ascii="Arial" w:cs="Arial" w:eastAsia="Arial" w:hAnsi="Arial"/>
          <w:color w:val="333333"/>
          <w:sz w:val="20"/>
          <w:szCs w:val="20"/>
        </w:rPr>
        <w:t xml:space="preserve">Jaren Drummond</w:t>
      </w:r>
    </w:p>
    <w:p>
      <w:pPr>
        <w:spacing w:after="60" w:before="0"/>
        <w:jc w:val="center"/>
      </w:pPr>
      <w:r>
        <w:rPr>
          <w:rFonts w:ascii="Arial" w:cs="Arial" w:eastAsia="Arial" w:hAnsi="Arial"/>
          <w:color w:val="555555"/>
          <w:sz w:val="20"/>
          <w:szCs w:val="20"/>
        </w:rPr>
        <w:t xml:space="preserve">823 W Leadwood Ave, San Tan Valley, AZ 85140</w:t>
      </w:r>
    </w:p>
    <w:p>
      <w:pPr>
        <w:spacing w:after="200" w:before="0"/>
        <w:jc w:val="center"/>
      </w:pPr>
      <w:r>
        <w:rPr>
          <w:rFonts w:ascii="Arial" w:cs="Arial" w:eastAsia="Arial" w:hAnsi="Arial"/>
          <w:color w:val="555555"/>
          <w:sz w:val="20"/>
          <w:szCs w:val="20"/>
        </w:rPr>
        <w:t xml:space="preserve">(480) 618-0805  |  santanpropertyinspections@gmail.com  |  santanpropertyinspections.com</w:t>
      </w:r>
    </w:p>
    <w:p>
      <w:pPr>
        <w:pBdr>
          <w:bottom w:val="single" w:color="E8DFC8" w:sz="2" w:space="1"/>
        </w:pBdr>
        <w:spacing w:after="0" w:before="0"/>
      </w:pPr>
    </w:p>
    <w:p>
      <w:pPr>
        <w:spacing w:after="200" w:before="200"/>
        <w:jc w:val="center"/>
      </w:pPr>
      <w:r>
        <w:rPr>
          <w:rFonts w:ascii="Georgia" w:cs="Georgia" w:eastAsia="Georgia" w:hAnsi="Georgia"/>
          <w:b/>
          <w:bCs/>
          <w:color w:val="1B2D52"/>
          <w:sz w:val="28"/>
          <w:szCs w:val="28"/>
        </w:rPr>
        <w:t xml:space="preserve">HOME INSPECTION AGREEMENT</w:t>
      </w:r>
    </w:p>
    <w:p>
      <w:pPr>
        <w:spacing w:after="60" w:before="60"/>
      </w:pPr>
      <w:r>
        <w:rPr>
          <w:rFonts w:ascii="Arial" w:cs="Arial" w:eastAsia="Arial" w:hAnsi="Arial"/>
          <w:sz w:val="20"/>
          <w:szCs w:val="20"/>
        </w:rPr>
        <w:t xml:space="preserve">Client Name:  _______________________________________________</w:t>
      </w:r>
    </w:p>
    <w:p>
      <w:pPr>
        <w:spacing w:after="60" w:before="60"/>
      </w:pPr>
      <w:r>
        <w:rPr>
          <w:rFonts w:ascii="Arial" w:cs="Arial" w:eastAsia="Arial" w:hAnsi="Arial"/>
          <w:sz w:val="20"/>
          <w:szCs w:val="20"/>
        </w:rPr>
        <w:t xml:space="preserve">Property Address:  _______________________________________________</w:t>
      </w:r>
    </w:p>
    <w:p>
      <w:pPr>
        <w:spacing w:after="160" w:before="60"/>
      </w:pPr>
      <w:r>
        <w:rPr>
          <w:rFonts w:ascii="Arial" w:cs="Arial" w:eastAsia="Arial" w:hAnsi="Arial"/>
          <w:sz w:val="20"/>
          <w:szCs w:val="20"/>
        </w:rPr>
        <w:t xml:space="preserve">Inspection Date:  ___________________________     Inspection Fee:  $______________</w:t>
      </w:r>
    </w:p>
    <w:p>
      <w:pPr>
        <w:spacing w:after="160" w:before="60"/>
      </w:pPr>
      <w:r>
        <w:rPr>
          <w:rFonts w:ascii="Arial" w:cs="Arial" w:eastAsia="Arial" w:hAnsi="Arial"/>
          <w:sz w:val="20"/>
          <w:szCs w:val="20"/>
        </w:rPr>
        <w:t xml:space="preserve">Add-On Services:  ___________________________________________________________________</w:t>
      </w:r>
    </w:p>
    <w:p>
      <w:pPr>
        <w:spacing w:after="60" w:before="60"/>
      </w:pPr>
      <w:r>
        <w:rPr>
          <w:rFonts w:ascii="Arial" w:cs="Arial" w:eastAsia="Arial" w:hAnsi="Arial"/>
          <w:sz w:val="20"/>
          <w:szCs w:val="20"/>
        </w:rPr>
        <w:t xml:space="preserve">I, the undersigned Client, hereby request a non-invasive visual inspection of the property listed above, to be conducted by San Tan Property Inspections (“Inspector”). By signing below, I agree to all terms and conditions of this Agreement.</w:t>
      </w:r>
    </w:p>
    <w:p>
      <w:pPr>
        <w:spacing w:after="60" w:before="260"/>
      </w:pPr>
      <w:r>
        <w:rPr>
          <w:rFonts w:ascii="Arial" w:cs="Arial" w:eastAsia="Arial" w:hAnsi="Arial"/>
          <w:b/>
          <w:bCs/>
          <w:color w:val="1B2D52"/>
          <w:sz w:val="22"/>
          <w:szCs w:val="22"/>
        </w:rPr>
        <w:t xml:space="preserve">1.  SCOPE OF INSPECTION</w:t>
      </w:r>
    </w:p>
    <w:p>
      <w:pPr>
        <w:spacing w:after="60" w:before="60"/>
      </w:pPr>
      <w:r>
        <w:rPr>
          <w:rFonts w:ascii="Arial" w:cs="Arial" w:eastAsia="Arial" w:hAnsi="Arial"/>
          <w:sz w:val="20"/>
          <w:szCs w:val="20"/>
        </w:rPr>
        <w:t xml:space="preserve">The Inspector will perform a non-invasive visual inspection of the accessible systems and components of the property in accordance with the Standards of Professional Practice for Arizona Home Inspectors as adopted by the Arizona State Board of Technical Registration (available at btr.az.gov). The inspection will produce a written report identifying material defects observed at the time of inspection. The report will be delivered the same day as the inspection.</w:t>
      </w:r>
    </w:p>
    <w:p>
      <w:pPr>
        <w:spacing w:after="60" w:before="60"/>
      </w:pPr>
      <w:r>
        <w:rPr>
          <w:rFonts w:ascii="Arial" w:cs="Arial" w:eastAsia="Arial" w:hAnsi="Arial"/>
          <w:sz w:val="20"/>
          <w:szCs w:val="20"/>
        </w:rPr>
        <w:t xml:space="preserve">The standard inspection covers the following systems and components:</w:t>
      </w:r>
    </w:p>
    <w:p>
      <w:pPr>
        <w:spacing w:after="40" w:before="80"/>
        <w:ind w:left="360"/>
      </w:pPr>
      <w:r>
        <w:rPr>
          <w:rFonts w:ascii="Arial" w:cs="Arial" w:eastAsia="Arial" w:hAnsi="Arial"/>
          <w:b/>
          <w:bCs/>
          <w:sz w:val="20"/>
          <w:szCs w:val="20"/>
        </w:rPr>
        <w:t xml:space="preserve">Roof: </w:t>
      </w:r>
      <w:r>
        <w:rPr>
          <w:rFonts w:ascii="Arial" w:cs="Arial" w:eastAsia="Arial" w:hAnsi="Arial"/>
          <w:sz w:val="20"/>
          <w:szCs w:val="20"/>
        </w:rPr>
        <w:t xml:space="preserve">Roof covering materials (shingles, tile, foam, membrane); flashings; roof drainage (gutters, downspouts, and extensions); skylights, chimneys, and roof penetrations; condition of visible roof structure from accessible areas.</w:t>
      </w:r>
    </w:p>
    <w:p>
      <w:pPr>
        <w:spacing w:after="40" w:before="80"/>
        <w:ind w:left="360"/>
      </w:pPr>
      <w:r>
        <w:rPr>
          <w:rFonts w:ascii="Arial" w:cs="Arial" w:eastAsia="Arial" w:hAnsi="Arial"/>
          <w:b/>
          <w:bCs/>
          <w:sz w:val="20"/>
          <w:szCs w:val="20"/>
        </w:rPr>
        <w:t xml:space="preserve">Exterior: </w:t>
      </w:r>
      <w:r>
        <w:rPr>
          <w:rFonts w:ascii="Arial" w:cs="Arial" w:eastAsia="Arial" w:hAnsi="Arial"/>
          <w:sz w:val="20"/>
          <w:szCs w:val="20"/>
        </w:rPr>
        <w:t xml:space="preserve">Wall cladding, trim, and fascia; eaves, soffits, and exterior doors; windows and window operation from exterior; walkways, driveways, patios, and steps; grading and surface drainage at the foundation perimeter; fences and retaining walls where they affect the structure.</w:t>
      </w:r>
    </w:p>
    <w:p>
      <w:pPr>
        <w:spacing w:after="40" w:before="80"/>
        <w:ind w:left="360"/>
      </w:pPr>
      <w:r>
        <w:rPr>
          <w:rFonts w:ascii="Arial" w:cs="Arial" w:eastAsia="Arial" w:hAnsi="Arial"/>
          <w:b/>
          <w:bCs/>
          <w:sz w:val="20"/>
          <w:szCs w:val="20"/>
        </w:rPr>
        <w:t xml:space="preserve">Electrical System: </w:t>
      </w:r>
      <w:r>
        <w:rPr>
          <w:rFonts w:ascii="Arial" w:cs="Arial" w:eastAsia="Arial" w:hAnsi="Arial"/>
          <w:sz w:val="20"/>
          <w:szCs w:val="20"/>
        </w:rPr>
        <w:t xml:space="preserve">Service entrance conductors and service equipment; main and sub-panel(s) including breakers and fuses; grounding and bonding; visible branch circuit wiring; outlets, switches, and fixtures (tested via spot checks); GFCI and AFCI protection where required; smoke and carbon monoxide detectors (presence observed, not tested).</w:t>
      </w:r>
    </w:p>
    <w:p>
      <w:pPr>
        <w:spacing w:after="40" w:before="80"/>
        <w:ind w:left="360"/>
      </w:pPr>
      <w:r>
        <w:rPr>
          <w:rFonts w:ascii="Arial" w:cs="Arial" w:eastAsia="Arial" w:hAnsi="Arial"/>
          <w:b/>
          <w:bCs/>
          <w:sz w:val="20"/>
          <w:szCs w:val="20"/>
        </w:rPr>
        <w:t xml:space="preserve">Plumbing System: </w:t>
      </w:r>
      <w:r>
        <w:rPr>
          <w:rFonts w:ascii="Arial" w:cs="Arial" w:eastAsia="Arial" w:hAnsi="Arial"/>
          <w:sz w:val="20"/>
          <w:szCs w:val="20"/>
        </w:rPr>
        <w:t xml:space="preserve">Main water supply, shut-off, and water meter location; interior water supply lines and visible distribution; drain, waste, and vent pipes; water heater(s) including capacity, condition, safety devices, and approximate age; sump pumps if present; functional flow and drainage at fixtures.</w:t>
      </w:r>
    </w:p>
    <w:p>
      <w:pPr>
        <w:spacing w:after="40" w:before="80"/>
        <w:ind w:left="360"/>
      </w:pPr>
      <w:r>
        <w:rPr>
          <w:rFonts w:ascii="Arial" w:cs="Arial" w:eastAsia="Arial" w:hAnsi="Arial"/>
          <w:b/>
          <w:bCs/>
          <w:sz w:val="20"/>
          <w:szCs w:val="20"/>
        </w:rPr>
        <w:t xml:space="preserve">Basement, Foundation, and Structure: </w:t>
      </w:r>
      <w:r>
        <w:rPr>
          <w:rFonts w:ascii="Arial" w:cs="Arial" w:eastAsia="Arial" w:hAnsi="Arial"/>
          <w:sz w:val="20"/>
          <w:szCs w:val="20"/>
        </w:rPr>
        <w:t xml:space="preserve">Foundation type and visible condition; evidence of moisture intrusion, efflorescence, or staining; basement or crawl space access and conditions; visible structural framing including floor joists, beams, and columns where accessible; evidence of settlement, movement, or significant cracking.</w:t>
      </w:r>
    </w:p>
    <w:p>
      <w:pPr>
        <w:spacing w:after="40" w:before="80"/>
        <w:ind w:left="360"/>
      </w:pPr>
      <w:r>
        <w:rPr>
          <w:rFonts w:ascii="Arial" w:cs="Arial" w:eastAsia="Arial" w:hAnsi="Arial"/>
          <w:b/>
          <w:bCs/>
          <w:sz w:val="20"/>
          <w:szCs w:val="20"/>
        </w:rPr>
        <w:t xml:space="preserve">Garage: </w:t>
      </w:r>
      <w:r>
        <w:rPr>
          <w:rFonts w:ascii="Arial" w:cs="Arial" w:eastAsia="Arial" w:hAnsi="Arial"/>
          <w:sz w:val="20"/>
          <w:szCs w:val="20"/>
        </w:rPr>
        <w:t xml:space="preserve">Garage door(s), openers, and auto-reverse safety function; firewall and fire-rated door between garage and living space; vehicle door operation and weatherstripping; electrical and lighting within the garage.</w:t>
      </w:r>
    </w:p>
    <w:p>
      <w:pPr>
        <w:spacing w:after="40" w:before="80"/>
        <w:ind w:left="360"/>
      </w:pPr>
      <w:r>
        <w:rPr>
          <w:rFonts w:ascii="Arial" w:cs="Arial" w:eastAsia="Arial" w:hAnsi="Arial"/>
          <w:b/>
          <w:bCs/>
          <w:sz w:val="20"/>
          <w:szCs w:val="20"/>
        </w:rPr>
        <w:t xml:space="preserve">Heating and Cooling: </w:t>
      </w:r>
      <w:r>
        <w:rPr>
          <w:rFonts w:ascii="Arial" w:cs="Arial" w:eastAsia="Arial" w:hAnsi="Arial"/>
          <w:sz w:val="20"/>
          <w:szCs w:val="20"/>
        </w:rPr>
        <w:t xml:space="preserve">Heating equipment type, energy source, and approximate age; cooling (air conditioning) equipment type and approximate age; visible distribution systems (ductwork, registers); normal operating controls; flue pipes, chimneys, and venting for combustion appliances; filter condition observed.</w:t>
      </w:r>
    </w:p>
    <w:p>
      <w:pPr>
        <w:spacing w:after="40" w:before="80"/>
        <w:ind w:left="360"/>
      </w:pPr>
      <w:r>
        <w:rPr>
          <w:rFonts w:ascii="Arial" w:cs="Arial" w:eastAsia="Arial" w:hAnsi="Arial"/>
          <w:b/>
          <w:bCs/>
          <w:sz w:val="20"/>
          <w:szCs w:val="20"/>
        </w:rPr>
        <w:t xml:space="preserve">Doors, Windows, and Interior: </w:t>
      </w:r>
      <w:r>
        <w:rPr>
          <w:rFonts w:ascii="Arial" w:cs="Arial" w:eastAsia="Arial" w:hAnsi="Arial"/>
          <w:sz w:val="20"/>
          <w:szCs w:val="20"/>
        </w:rPr>
        <w:t xml:space="preserve">Interior doors and hardware; windows including sash operation, locking hardware, and glazing condition (visible fogging/seal failure noted); floors, walls, and ceilings for evidence of moisture, staining, or significant defects; stairways, railings, and guardrails; representative sample of accessible interior components.</w:t>
      </w:r>
    </w:p>
    <w:p>
      <w:pPr>
        <w:spacing w:after="40" w:before="80"/>
        <w:ind w:left="360"/>
      </w:pPr>
      <w:r>
        <w:rPr>
          <w:rFonts w:ascii="Arial" w:cs="Arial" w:eastAsia="Arial" w:hAnsi="Arial"/>
          <w:b/>
          <w:bCs/>
          <w:sz w:val="20"/>
          <w:szCs w:val="20"/>
        </w:rPr>
        <w:t xml:space="preserve">Insulation and Ventilation: </w:t>
      </w:r>
      <w:r>
        <w:rPr>
          <w:rFonts w:ascii="Arial" w:cs="Arial" w:eastAsia="Arial" w:hAnsi="Arial"/>
          <w:sz w:val="20"/>
          <w:szCs w:val="20"/>
        </w:rPr>
        <w:t xml:space="preserve">Insulation type and approximate depth in accessible attic areas; vapor barriers where visible; attic ventilation (ridge, soffit, gable, or power vents); bathroom, kitchen, and laundry exhaust fan venting to the exterior where accessible; crawl space ventilation where applicable.</w:t>
      </w:r>
    </w:p>
    <w:p>
      <w:pPr>
        <w:spacing w:after="40" w:before="80"/>
        <w:ind w:left="360"/>
      </w:pPr>
      <w:r>
        <w:rPr>
          <w:rFonts w:ascii="Arial" w:cs="Arial" w:eastAsia="Arial" w:hAnsi="Arial"/>
          <w:b/>
          <w:bCs/>
          <w:sz w:val="20"/>
          <w:szCs w:val="20"/>
        </w:rPr>
        <w:t xml:space="preserve">Built-In Kitchen Appliances: </w:t>
      </w:r>
      <w:r>
        <w:rPr>
          <w:rFonts w:ascii="Arial" w:cs="Arial" w:eastAsia="Arial" w:hAnsi="Arial"/>
          <w:sz w:val="20"/>
          <w:szCs w:val="20"/>
        </w:rPr>
        <w:t xml:space="preserve">Dishwasher (operated through a cycle); range/cooktop and oven (operated and tested for heating); built-in microwave (operated); garbage disposal (operated); exhaust fan/range hood (operated); refrigerator is not included unless specifically agreed to in writing.</w:t>
      </w:r>
    </w:p>
    <w:p>
      <w:pPr>
        <w:spacing w:after="60" w:before="60"/>
      </w:pPr>
      <w:r>
        <w:rPr>
          <w:rFonts w:ascii="Arial" w:cs="Arial" w:eastAsia="Arial" w:hAnsi="Arial"/>
          <w:sz w:val="20"/>
          <w:szCs w:val="20"/>
        </w:rPr>
        <w:t xml:space="preserve">Any add-on services (such as pool, fireplace, infrared camera inspection, or outbuilding) are performed in addition to the standard inspection and are subject to the same terms of this Agreement. Add-on services must be agreed upon in writing prior to the inspection and are reflected in the booking confirmation.</w:t>
      </w:r>
    </w:p>
    <w:p>
      <w:pPr>
        <w:spacing w:after="60" w:before="60"/>
      </w:pPr>
      <w:r>
        <w:rPr>
          <w:rFonts w:ascii="Arial" w:cs="Arial" w:eastAsia="Arial" w:hAnsi="Arial"/>
          <w:sz w:val="20"/>
          <w:szCs w:val="20"/>
        </w:rPr>
        <w:t xml:space="preserve">Only components with normal user controls and accessible under safe conditions will be operated. The inspection is a visual examination only and does not include destructive testing, dismantling of components, or moving of personal property.</w:t>
      </w:r>
    </w:p>
    <w:p>
      <w:pPr>
        <w:spacing w:after="60" w:before="260"/>
      </w:pPr>
      <w:r>
        <w:rPr>
          <w:rFonts w:ascii="Arial" w:cs="Arial" w:eastAsia="Arial" w:hAnsi="Arial"/>
          <w:b/>
          <w:bCs/>
          <w:color w:val="1B2D52"/>
          <w:sz w:val="22"/>
          <w:szCs w:val="22"/>
        </w:rPr>
        <w:t xml:space="preserve">2.  EXCLUSIONS</w:t>
      </w:r>
    </w:p>
    <w:p>
      <w:pPr>
        <w:spacing w:after="60" w:before="60"/>
      </w:pPr>
      <w:r>
        <w:rPr>
          <w:rFonts w:ascii="Arial" w:cs="Arial" w:eastAsia="Arial" w:hAnsi="Arial"/>
          <w:sz w:val="20"/>
          <w:szCs w:val="20"/>
        </w:rPr>
        <w:t xml:space="preserve">Unless separately agreed to in writing, the following are NOT included in this inspection:</w:t>
      </w:r>
    </w:p>
    <w:p>
      <w:pPr>
        <w:pStyle w:val="ListParagraph"/>
        <w:numPr>
          <w:ilvl w:val="0"/>
          <w:numId w:val="2"/>
        </w:numPr>
        <w:spacing w:after="40" w:before="40"/>
        <w:ind w:left="720" w:hanging="360"/>
      </w:pPr>
      <w:r>
        <w:rPr>
          <w:rFonts w:ascii="Arial" w:cs="Arial" w:eastAsia="Arial" w:hAnsi="Arial"/>
          <w:sz w:val="20"/>
          <w:szCs w:val="20"/>
        </w:rPr>
        <w:t xml:space="preserve">Environmental hazards: radon, mold, asbestos, lead paint or pipes, soil contamination, or other pollutants</w:t>
      </w:r>
    </w:p>
    <w:p>
      <w:pPr>
        <w:pStyle w:val="ListParagraph"/>
        <w:numPr>
          <w:ilvl w:val="0"/>
          <w:numId w:val="2"/>
        </w:numPr>
        <w:spacing w:after="40" w:before="40"/>
        <w:ind w:left="720" w:hanging="360"/>
      </w:pPr>
      <w:r>
        <w:rPr>
          <w:rFonts w:ascii="Arial" w:cs="Arial" w:eastAsia="Arial" w:hAnsi="Arial"/>
          <w:sz w:val="20"/>
          <w:szCs w:val="20"/>
        </w:rPr>
        <w:t xml:space="preserve">Code compliance, zoning compliance, or permit verification</w:t>
      </w:r>
    </w:p>
    <w:p>
      <w:pPr>
        <w:pStyle w:val="ListParagraph"/>
        <w:numPr>
          <w:ilvl w:val="0"/>
          <w:numId w:val="2"/>
        </w:numPr>
        <w:spacing w:after="40" w:before="40"/>
        <w:ind w:left="720" w:hanging="360"/>
      </w:pPr>
      <w:r>
        <w:rPr>
          <w:rFonts w:ascii="Arial" w:cs="Arial" w:eastAsia="Arial" w:hAnsi="Arial"/>
          <w:sz w:val="20"/>
          <w:szCs w:val="20"/>
        </w:rPr>
        <w:t xml:space="preserve">Termites or wood-destroying organisms</w:t>
      </w:r>
    </w:p>
    <w:p>
      <w:pPr>
        <w:pStyle w:val="ListParagraph"/>
        <w:numPr>
          <w:ilvl w:val="0"/>
          <w:numId w:val="2"/>
        </w:numPr>
        <w:spacing w:after="40" w:before="40"/>
        <w:ind w:left="720" w:hanging="360"/>
      </w:pPr>
      <w:r>
        <w:rPr>
          <w:rFonts w:ascii="Arial" w:cs="Arial" w:eastAsia="Arial" w:hAnsi="Arial"/>
          <w:sz w:val="20"/>
          <w:szCs w:val="20"/>
        </w:rPr>
        <w:t xml:space="preserve">Cosmetic or aesthetic conditions that do not affect function or safety</w:t>
      </w:r>
    </w:p>
    <w:p>
      <w:pPr>
        <w:pStyle w:val="ListParagraph"/>
        <w:numPr>
          <w:ilvl w:val="0"/>
          <w:numId w:val="2"/>
        </w:numPr>
        <w:spacing w:after="40" w:before="40"/>
        <w:ind w:left="720" w:hanging="360"/>
      </w:pPr>
      <w:r>
        <w:rPr>
          <w:rFonts w:ascii="Arial" w:cs="Arial" w:eastAsia="Arial" w:hAnsi="Arial"/>
          <w:sz w:val="20"/>
          <w:szCs w:val="20"/>
        </w:rPr>
        <w:t xml:space="preserve">Auxiliary systems: alarm, solar, intercom, central vacuum, water softener, reverse osmosis systems, sprinkler or mister systems</w:t>
      </w:r>
    </w:p>
    <w:p>
      <w:pPr>
        <w:pStyle w:val="ListParagraph"/>
        <w:numPr>
          <w:ilvl w:val="0"/>
          <w:numId w:val="2"/>
        </w:numPr>
        <w:spacing w:after="40" w:before="40"/>
        <w:ind w:left="720" w:hanging="360"/>
      </w:pPr>
      <w:r>
        <w:rPr>
          <w:rFonts w:ascii="Arial" w:cs="Arial" w:eastAsia="Arial" w:hAnsi="Arial"/>
          <w:sz w:val="20"/>
          <w:szCs w:val="20"/>
        </w:rPr>
        <w:t xml:space="preserve">The presence, condition, or certification of smoke detectors or carbon monoxide detectors beyond visual observation of presence</w:t>
      </w:r>
    </w:p>
    <w:p>
      <w:pPr>
        <w:pStyle w:val="ListParagraph"/>
        <w:numPr>
          <w:ilvl w:val="0"/>
          <w:numId w:val="2"/>
        </w:numPr>
        <w:spacing w:after="40" w:before="40"/>
        <w:ind w:left="720" w:hanging="360"/>
      </w:pPr>
      <w:r>
        <w:rPr>
          <w:rFonts w:ascii="Arial" w:cs="Arial" w:eastAsia="Arial" w:hAnsi="Arial"/>
          <w:sz w:val="20"/>
          <w:szCs w:val="20"/>
        </w:rPr>
        <w:t xml:space="preserve">Product recalls, past or present</w:t>
      </w:r>
    </w:p>
    <w:p>
      <w:pPr>
        <w:pStyle w:val="ListParagraph"/>
        <w:numPr>
          <w:ilvl w:val="0"/>
          <w:numId w:val="2"/>
        </w:numPr>
        <w:spacing w:after="40" w:before="40"/>
        <w:ind w:left="720" w:hanging="360"/>
      </w:pPr>
      <w:r>
        <w:rPr>
          <w:rFonts w:ascii="Arial" w:cs="Arial" w:eastAsia="Arial" w:hAnsi="Arial"/>
          <w:sz w:val="20"/>
          <w:szCs w:val="20"/>
        </w:rPr>
        <w:t xml:space="preserve">Areas inaccessible due to soil, walls, floors, ceilings, furnishings, personal property, or other obstructions</w:t>
      </w:r>
    </w:p>
    <w:p>
      <w:pPr>
        <w:pStyle w:val="ListParagraph"/>
        <w:numPr>
          <w:ilvl w:val="0"/>
          <w:numId w:val="2"/>
        </w:numPr>
        <w:spacing w:after="40" w:before="40"/>
        <w:ind w:left="720" w:hanging="360"/>
      </w:pPr>
      <w:r>
        <w:rPr>
          <w:rFonts w:ascii="Arial" w:cs="Arial" w:eastAsia="Arial" w:hAnsi="Arial"/>
          <w:sz w:val="20"/>
          <w:szCs w:val="20"/>
        </w:rPr>
        <w:t xml:space="preserve">Swimming pools or spas, unless the pool add-on is purchased</w:t>
      </w:r>
    </w:p>
    <w:p>
      <w:pPr>
        <w:pStyle w:val="ListParagraph"/>
        <w:numPr>
          <w:ilvl w:val="0"/>
          <w:numId w:val="2"/>
        </w:numPr>
        <w:spacing w:after="40" w:before="40"/>
        <w:ind w:left="720" w:hanging="360"/>
      </w:pPr>
      <w:r>
        <w:rPr>
          <w:rFonts w:ascii="Arial" w:cs="Arial" w:eastAsia="Arial" w:hAnsi="Arial"/>
          <w:sz w:val="20"/>
          <w:szCs w:val="20"/>
        </w:rPr>
        <w:t xml:space="preserve">Detached structures, unless the outbuilding add-on is purchased</w:t>
      </w:r>
    </w:p>
    <w:p>
      <w:pPr>
        <w:pStyle w:val="ListParagraph"/>
        <w:numPr>
          <w:ilvl w:val="0"/>
          <w:numId w:val="2"/>
        </w:numPr>
        <w:spacing w:after="40" w:before="40"/>
        <w:ind w:left="720" w:hanging="360"/>
      </w:pPr>
      <w:r>
        <w:rPr>
          <w:rFonts w:ascii="Arial" w:cs="Arial" w:eastAsia="Arial" w:hAnsi="Arial"/>
          <w:sz w:val="20"/>
          <w:szCs w:val="20"/>
        </w:rPr>
        <w:t xml:space="preserve">Fireplaces and chimneys, unless the fireplace add-on is purchased</w:t>
      </w:r>
    </w:p>
    <w:p>
      <w:pPr>
        <w:spacing w:after="60" w:before="60"/>
      </w:pPr>
      <w:r>
        <w:rPr>
          <w:rFonts w:ascii="Arial" w:cs="Arial" w:eastAsia="Arial" w:hAnsi="Arial"/>
          <w:sz w:val="20"/>
          <w:szCs w:val="20"/>
        </w:rPr>
        <w:t xml:space="preserve">The Inspector is a property generalist and does not act as a licensed engineer or specialist in any trade. Where specialized evaluation is recommended in the report, Client agrees to arrange that evaluation at Client’s own expense.</w:t>
      </w:r>
    </w:p>
    <w:p>
      <w:pPr>
        <w:spacing w:after="60" w:before="260"/>
      </w:pPr>
      <w:r>
        <w:rPr>
          <w:rFonts w:ascii="Arial" w:cs="Arial" w:eastAsia="Arial" w:hAnsi="Arial"/>
          <w:b/>
          <w:bCs/>
          <w:color w:val="1B2D52"/>
          <w:sz w:val="22"/>
          <w:szCs w:val="22"/>
        </w:rPr>
        <w:t xml:space="preserve">3.  REPORT</w:t>
      </w:r>
    </w:p>
    <w:p>
      <w:pPr>
        <w:spacing w:after="60" w:before="60"/>
      </w:pPr>
      <w:r>
        <w:rPr>
          <w:rFonts w:ascii="Arial" w:cs="Arial" w:eastAsia="Arial" w:hAnsi="Arial"/>
          <w:sz w:val="20"/>
          <w:szCs w:val="20"/>
        </w:rPr>
        <w:t xml:space="preserve">The report is prepared for the sole use and benefit of the Client. The Inspector may discuss findings with real estate agents, sellers, repair professionals, or other interested parties with Client’s implied consent. The report is not a guarantee, warranty, or substitute for seller disclosure. The Inspector is not responsible for the use or misinterpretation of the report by any third party.</w:t>
      </w:r>
    </w:p>
    <w:p>
      <w:pPr>
        <w:spacing w:after="60" w:before="60"/>
      </w:pPr>
      <w:r>
        <w:rPr>
          <w:rFonts w:ascii="Arial" w:cs="Arial" w:eastAsia="Arial" w:hAnsi="Arial"/>
          <w:sz w:val="20"/>
          <w:szCs w:val="20"/>
        </w:rPr>
        <w:t xml:space="preserve">The report will not be released until both of the following conditions are met: (1) this Agreement has been signed by the Client, and (2) full payment of the inspection fee has been received.</w:t>
      </w:r>
    </w:p>
    <w:p>
      <w:pPr>
        <w:spacing w:after="60" w:before="260"/>
      </w:pPr>
      <w:r>
        <w:rPr>
          <w:rFonts w:ascii="Arial" w:cs="Arial" w:eastAsia="Arial" w:hAnsi="Arial"/>
          <w:b/>
          <w:bCs/>
          <w:color w:val="1B2D52"/>
          <w:sz w:val="22"/>
          <w:szCs w:val="22"/>
        </w:rPr>
        <w:t xml:space="preserve">4.  PAYMENT</w:t>
      </w:r>
    </w:p>
    <w:p>
      <w:pPr>
        <w:spacing w:after="60" w:before="60"/>
      </w:pPr>
      <w:r>
        <w:rPr>
          <w:rFonts w:ascii="Arial" w:cs="Arial" w:eastAsia="Arial" w:hAnsi="Arial"/>
          <w:sz w:val="20"/>
          <w:szCs w:val="20"/>
        </w:rPr>
        <w:t xml:space="preserve">The inspection fee is due and payable on the day of inspection. Accepted forms of payment: cash, Venmo, Zelle, or Square (credit/debit). The report will not be released until payment is received in full.</w:t>
      </w:r>
    </w:p>
    <w:p>
      <w:pPr>
        <w:spacing w:after="60" w:before="260"/>
      </w:pPr>
      <w:r>
        <w:rPr>
          <w:rFonts w:ascii="Arial" w:cs="Arial" w:eastAsia="Arial" w:hAnsi="Arial"/>
          <w:b/>
          <w:bCs/>
          <w:color w:val="1B2D52"/>
          <w:sz w:val="22"/>
          <w:szCs w:val="22"/>
        </w:rPr>
        <w:t xml:space="preserve">5.  RE-INSPECTION AND CANCELLATION</w:t>
      </w:r>
    </w:p>
    <w:p>
      <w:pPr>
        <w:spacing w:after="60" w:before="60"/>
      </w:pPr>
      <w:r>
        <w:rPr>
          <w:rFonts w:ascii="Arial" w:cs="Arial" w:eastAsia="Arial" w:hAnsi="Arial"/>
          <w:sz w:val="20"/>
          <w:szCs w:val="20"/>
        </w:rPr>
        <w:t xml:space="preserve">If a re-inspection is requested, it is subject to the terms of this Agreement and will be charged at the then-current rate. A $125.00 re-inspection fee applies if utilities (gas, water, or electrical) are not on and accessible at the time of the scheduled inspection, requiring a return visit.</w:t>
      </w:r>
    </w:p>
    <w:p>
      <w:pPr>
        <w:spacing w:after="60" w:before="60"/>
      </w:pPr>
      <w:r>
        <w:rPr>
          <w:rFonts w:ascii="Arial" w:cs="Arial" w:eastAsia="Arial" w:hAnsi="Arial"/>
          <w:sz w:val="20"/>
          <w:szCs w:val="20"/>
        </w:rPr>
        <w:t xml:space="preserve">Please provide at least 24 hours’ notice for cancellations or rescheduling.</w:t>
      </w:r>
    </w:p>
    <w:p>
      <w:pPr>
        <w:spacing w:after="60" w:before="260"/>
      </w:pPr>
      <w:r>
        <w:rPr>
          <w:rFonts w:ascii="Arial" w:cs="Arial" w:eastAsia="Arial" w:hAnsi="Arial"/>
          <w:b/>
          <w:bCs/>
          <w:color w:val="1B2D52"/>
          <w:sz w:val="22"/>
          <w:szCs w:val="22"/>
        </w:rPr>
        <w:t xml:space="preserve">6.  LIMITATION OF LIABILITY</w:t>
      </w:r>
    </w:p>
    <w:p>
      <w:pPr>
        <w:spacing w:after="60" w:before="60"/>
      </w:pPr>
      <w:r>
        <w:rPr>
          <w:rFonts w:ascii="Arial" w:cs="Arial" w:eastAsia="Arial" w:hAnsi="Arial"/>
          <w:sz w:val="20"/>
          <w:szCs w:val="20"/>
        </w:rPr>
        <w:t xml:space="preserve">The Inspector assumes no liability for the cost of repair or replacement of unreported defects, current or arising in the future. In all cases, the Inspector’s total liability is limited to a refund of the inspection fee paid. Client assumes the risk of all losses greater than the inspection fee. Client agrees to immediately accept a refund as full settlement for any and all claims arising from this inspection.</w:t>
      </w:r>
    </w:p>
    <w:p>
      <w:pPr>
        <w:spacing w:after="60" w:before="80"/>
      </w:pPr>
      <w:r>
        <w:rPr>
          <w:rFonts w:ascii="Arial" w:cs="Arial" w:eastAsia="Arial" w:hAnsi="Arial"/>
          <w:b/>
          <w:bCs/>
          <w:sz w:val="20"/>
          <w:szCs w:val="20"/>
        </w:rPr>
        <w:t xml:space="preserve">Client waives any claim for consequential, exemplary, special, or incidental damages or for loss of use of the property.</w:t>
      </w:r>
    </w:p>
    <w:p>
      <w:pPr>
        <w:spacing w:after="60" w:before="260"/>
      </w:pPr>
      <w:r>
        <w:rPr>
          <w:rFonts w:ascii="Arial" w:cs="Arial" w:eastAsia="Arial" w:hAnsi="Arial"/>
          <w:b/>
          <w:bCs/>
          <w:color w:val="1B2D52"/>
          <w:sz w:val="22"/>
          <w:szCs w:val="22"/>
        </w:rPr>
        <w:t xml:space="preserve">7.  CLAIMS PROCEDURE</w:t>
      </w:r>
    </w:p>
    <w:p>
      <w:pPr>
        <w:spacing w:after="60" w:before="60"/>
      </w:pPr>
      <w:r>
        <w:rPr>
          <w:rFonts w:ascii="Arial" w:cs="Arial" w:eastAsia="Arial" w:hAnsi="Arial"/>
          <w:sz w:val="20"/>
          <w:szCs w:val="20"/>
        </w:rPr>
        <w:t xml:space="preserve">If Client believes they have a claim, Client must: (1) provide written notification to the Inspector within 10 days of discovery, with sufficient detail and supporting documentation; and (2) provide the Inspector with prompt access to the property for re-inspection before any repairs are made, except in cases of emergency where immediate repair is necessary to prevent further damage, in which case Client shall notify the Inspector in writing within 24 hours of such emergency repair. Failure to comply with either requirement releases the Inspector from any liability. No legal action may be filed more than one (1) year after the date of inspection.</w:t>
      </w:r>
    </w:p>
    <w:p>
      <w:pPr>
        <w:spacing w:after="60" w:before="260"/>
      </w:pPr>
      <w:r>
        <w:rPr>
          <w:rFonts w:ascii="Arial" w:cs="Arial" w:eastAsia="Arial" w:hAnsi="Arial"/>
          <w:b/>
          <w:bCs/>
          <w:color w:val="1B2D52"/>
          <w:sz w:val="22"/>
          <w:szCs w:val="22"/>
        </w:rPr>
        <w:t xml:space="preserve">8.  DISPUTE RESOLUTION</w:t>
      </w:r>
    </w:p>
    <w:p>
      <w:pPr>
        <w:spacing w:after="60" w:before="60"/>
      </w:pPr>
      <w:r>
        <w:rPr>
          <w:rFonts w:ascii="Arial" w:cs="Arial" w:eastAsia="Arial" w:hAnsi="Arial"/>
          <w:sz w:val="20"/>
          <w:szCs w:val="20"/>
        </w:rPr>
        <w:t xml:space="preserve">Any dispute not resolved by refund of the inspection fee shall be resolved by arbitration. At least one arbitrator must be an Arizona Certified Home Inspector with at least five years of experience. The prevailing party shall be awarded attorney’s fees and arbitration costs. Client waives trial by jury for any dispute arising from this Agreement.</w:t>
      </w:r>
    </w:p>
    <w:p>
      <w:pPr>
        <w:spacing w:after="60" w:before="260"/>
      </w:pPr>
      <w:r>
        <w:rPr>
          <w:rFonts w:ascii="Arial" w:cs="Arial" w:eastAsia="Arial" w:hAnsi="Arial"/>
          <w:b/>
          <w:bCs/>
          <w:color w:val="1B2D52"/>
          <w:sz w:val="22"/>
          <w:szCs w:val="22"/>
        </w:rPr>
        <w:t xml:space="preserve">9.  ELECTRONIC SIGNATURE</w:t>
      </w:r>
    </w:p>
    <w:p>
      <w:pPr>
        <w:spacing w:after="60" w:before="60"/>
      </w:pPr>
      <w:r>
        <w:rPr>
          <w:rFonts w:ascii="Arial" w:cs="Arial" w:eastAsia="Arial" w:hAnsi="Arial"/>
          <w:sz w:val="20"/>
          <w:szCs w:val="20"/>
        </w:rPr>
        <w:t xml:space="preserve">Client acknowledges that this Agreement may be executed electronically in accordance with the federal Electronic Signatures in Global and National Commerce Act (E-SIGN Act, 15 U.S.C. § 7001 et seq.) and the Arizona Electronic Transactions Act (A.R.S. § 44-7001 et seq.). An electronic signature, whether submitted via typed name, digital signature, or online acknowledgment, shall be deemed valid and binding to the same extent as a handwritten signature. Client’s electronic signature constitutes acceptance of all terms of this Agreement.</w:t>
      </w:r>
    </w:p>
    <w:p>
      <w:pPr>
        <w:spacing w:after="60" w:before="260"/>
      </w:pPr>
      <w:r>
        <w:rPr>
          <w:rFonts w:ascii="Arial" w:cs="Arial" w:eastAsia="Arial" w:hAnsi="Arial"/>
          <w:b/>
          <w:bCs/>
          <w:color w:val="1B2D52"/>
          <w:sz w:val="22"/>
          <w:szCs w:val="22"/>
        </w:rPr>
        <w:t xml:space="preserve">10.  GENERAL PROVISIONS</w:t>
      </w:r>
    </w:p>
    <w:p>
      <w:pPr>
        <w:spacing w:after="60" w:before="60"/>
      </w:pPr>
      <w:r>
        <w:rPr>
          <w:rFonts w:ascii="Arial" w:cs="Arial" w:eastAsia="Arial" w:hAnsi="Arial"/>
          <w:sz w:val="20"/>
          <w:szCs w:val="20"/>
        </w:rPr>
        <w:t xml:space="preserve">This Agreement constitutes the entire agreement between the parties. No prior discussions or representations are binding unless reduced to writing and signed. If any provision is found invalid, the remaining provisions remain in effect. This Agreement is binding upon Client’s heirs, executors, administrators, successors, and assigns. Client may not assign this Agreement. Any modification must be in writing and signed by both parties.</w:t>
      </w:r>
    </w:p>
    <w:p>
      <w:pPr>
        <w:spacing w:after="120" w:before="240"/>
      </w:pPr>
      <w:r>
        <w:rPr>
          <w:rFonts w:ascii="Arial" w:cs="Arial" w:eastAsia="Arial" w:hAnsi="Arial"/>
          <w:b/>
          <w:bCs/>
          <w:sz w:val="20"/>
          <w:szCs w:val="20"/>
        </w:rPr>
        <w:t xml:space="preserve">I HAVE CAREFULLY READ THIS AGREEMENT, UNDERSTAND ITS TERMS, AND AGREE TO BE BOUND BY THEM.</w:t>
      </w:r>
    </w:p>
    <w:p>
      <w:pPr>
        <w:spacing w:after="120" w:before="120"/>
      </w:pPr>
      <w:r>
        <w:rPr>
          <w:rFonts w:ascii="Arial" w:cs="Arial" w:eastAsia="Arial" w:hAnsi="Arial"/>
          <w:sz w:val="20"/>
          <w:szCs w:val="20"/>
        </w:rPr>
        <w:t xml:space="preserve">Client Printed Name:  _______________________________________________</w:t>
      </w:r>
    </w:p>
    <w:p>
      <w:pPr>
        <w:spacing w:after="120" w:before="120"/>
      </w:pPr>
      <w:r>
        <w:rPr>
          <w:rFonts w:ascii="Arial" w:cs="Arial" w:eastAsia="Arial" w:hAnsi="Arial"/>
          <w:sz w:val="20"/>
          <w:szCs w:val="20"/>
        </w:rPr>
        <w:t xml:space="preserve">Client Signature:  _______________________________________________     Date:  _______________</w:t>
      </w:r>
    </w:p>
    <w:p>
      <w:pPr>
        <w:pBdr>
          <w:bottom w:val="single" w:color="E8DFC8" w:sz="2" w:space="1"/>
        </w:pBdr>
        <w:spacing w:after="0" w:before="0"/>
      </w:pPr>
    </w:p>
    <w:p>
      <w:pPr>
        <w:spacing w:after="0" w:before="120"/>
        <w:jc w:val="center"/>
      </w:pPr>
      <w:r>
        <w:rPr>
          <w:rFonts w:ascii="Arial" w:cs="Arial" w:eastAsia="Arial" w:hAnsi="Arial"/>
          <w:color w:val="888888"/>
          <w:sz w:val="18"/>
          <w:szCs w:val="18"/>
        </w:rPr>
        <w:t xml:space="preserve">San Tan Property Inspections  |  823 W Leadwood Ave, San Tan Valley, AZ 85140  |  (480) 618-0805</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2026-05-26T19:30:42.816Z</dcterms:created>
  <dcterms:modified xsi:type="dcterms:W3CDTF">2026-05-26T19:30:42.816Z</dcterms:modified>
</cp:coreProperties>
</file>

<file path=docProps/custom.xml><?xml version="1.0" encoding="utf-8"?>
<Properties xmlns="http://schemas.openxmlformats.org/officeDocument/2006/custom-properties" xmlns:vt="http://schemas.openxmlformats.org/officeDocument/2006/docPropsVTypes"/>
</file>